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4CE6" w:rsidRDefault="00384CE6" w:rsidP="00384CE6">
      <w:pPr>
        <w:keepNext/>
        <w:keepLines/>
        <w:widowControl w:val="0"/>
        <w:autoSpaceDE w:val="0"/>
        <w:autoSpaceDN w:val="0"/>
        <w:spacing w:after="0" w:line="240" w:lineRule="auto"/>
        <w:outlineLvl w:val="0"/>
        <w:rPr>
          <w:rFonts w:eastAsia="Times New Roman"/>
          <w:iCs/>
          <w:sz w:val="28"/>
          <w:szCs w:val="28"/>
          <w:lang w:val="vi-VN"/>
        </w:rPr>
      </w:pPr>
      <w:r>
        <w:rPr>
          <w:rFonts w:eastAsia="Times New Roman"/>
          <w:b/>
          <w:bCs/>
          <w:caps/>
          <w:sz w:val="24"/>
          <w:szCs w:val="28"/>
          <w:lang w:val="vi-VN"/>
        </w:rPr>
        <w:t>Cảnh báo rủi ro trong du LỊCH,</w:t>
      </w:r>
      <w:r>
        <w:rPr>
          <w:rFonts w:eastAsia="Times New Roman" w:cs="Calibri"/>
          <w:b/>
          <w:bCs/>
          <w:caps/>
          <w:sz w:val="24"/>
          <w:szCs w:val="28"/>
          <w:lang w:val="vi-VN"/>
        </w:rPr>
        <w:t xml:space="preserve"> </w:t>
      </w:r>
      <w:r>
        <w:rPr>
          <w:rFonts w:eastAsia="Times New Roman"/>
          <w:iCs/>
          <w:sz w:val="28"/>
          <w:szCs w:val="28"/>
          <w:lang w:val="vi-VN"/>
        </w:rPr>
        <w:t xml:space="preserve">những cảnh báo liên quan đến những tình huống, vấn đề hoặc sự kiện có khả năng gây nguy hiểm, thiệt hại hoặc bất lợi cho các bên liên quan khi họ đang tham gia vào các hoạt động du lịch. </w:t>
      </w:r>
    </w:p>
    <w:p w:rsidR="00384CE6" w:rsidRDefault="00384CE6" w:rsidP="00384CE6">
      <w:pPr>
        <w:keepNext/>
        <w:keepLines/>
        <w:widowControl w:val="0"/>
        <w:autoSpaceDE w:val="0"/>
        <w:autoSpaceDN w:val="0"/>
        <w:spacing w:after="0" w:line="240" w:lineRule="auto"/>
        <w:ind w:firstLine="720"/>
        <w:outlineLvl w:val="0"/>
        <w:rPr>
          <w:rFonts w:eastAsia="Times New Roman"/>
          <w:sz w:val="28"/>
          <w:lang w:val="vi-VN"/>
        </w:rPr>
      </w:pPr>
      <w:r>
        <w:rPr>
          <w:rFonts w:eastAsia="Times New Roman"/>
          <w:iCs/>
          <w:sz w:val="28"/>
          <w:szCs w:val="28"/>
          <w:lang w:val="vi-VN"/>
        </w:rPr>
        <w:t>Các rủi ro này có thể xuất hiện ở nhiều khía cạnh khác nhau của chuyến du lịch và có thể gây ra những hậu quả nghiêm trọng cho sức khỏe, tài sản và trải nghiệm của du khách,…</w:t>
      </w:r>
      <w:r>
        <w:rPr>
          <w:rFonts w:eastAsia="Times New Roman"/>
          <w:sz w:val="28"/>
          <w:lang w:val="vi-VN"/>
        </w:rPr>
        <w:t xml:space="preserve"> hướng mọi người có suy nghĩ và lựa chọn hành vi, giải pháp khác để có thể mang lại kết quả tốt hơn trong thực tiễn du lịch. Thông báo, thông tin, truyền thông dưới hình thức các quy định, hướng dẫn, thông điệp hoặc lời khuyên để báo trước cho biết việc liên quan đến khó khăn, nguy hiểm, thiệt hại, tổn thất không mong muốn có thể xảy ra. </w:t>
      </w:r>
    </w:p>
    <w:p w:rsidR="00384CE6" w:rsidRDefault="00384CE6" w:rsidP="00384CE6">
      <w:pPr>
        <w:widowControl w:val="0"/>
        <w:autoSpaceDE w:val="0"/>
        <w:autoSpaceDN w:val="0"/>
        <w:spacing w:after="0" w:line="240" w:lineRule="auto"/>
        <w:ind w:firstLine="720"/>
        <w:rPr>
          <w:rFonts w:eastAsia="Times New Roman"/>
          <w:sz w:val="28"/>
          <w:lang w:val="vi-VN"/>
        </w:rPr>
      </w:pPr>
      <w:r>
        <w:rPr>
          <w:rFonts w:eastAsia="Times New Roman"/>
          <w:sz w:val="28"/>
          <w:lang w:val="vi-VN"/>
        </w:rPr>
        <w:t>CBRRTDL thường được thực hiện trước khi diễn ra hoạt động du lịch để các bên liên quan hiểu hoạt động, nguy cơ rủi ro và các yêu cầu đảm bảo an toàn, tự quyết định việc có tham gia hay không và thực hiện các bước để đảm bảo đáp ứng được các yêu cầu an toàn trong du lịch. Khi diễn ra hoạt động, cảnh báo rủi ro có ý nghĩa hướng dẫn rõ ràng cho người tham gia họ cần phải làm gì tại mỗi giai đoạn của hoạt động và kế hoạch ứng phó trong trường hợp khẩn cấp.</w:t>
      </w:r>
    </w:p>
    <w:p w:rsidR="00384CE6" w:rsidRDefault="00384CE6" w:rsidP="00384CE6">
      <w:pPr>
        <w:shd w:val="clear" w:color="auto" w:fill="FFFFFF"/>
        <w:spacing w:after="0" w:line="240" w:lineRule="auto"/>
        <w:ind w:firstLine="720"/>
        <w:rPr>
          <w:rFonts w:ascii="Open Sans" w:eastAsia="Times New Roman" w:hAnsi="Open Sans" w:cs="Open Sans"/>
          <w:sz w:val="21"/>
          <w:szCs w:val="21"/>
          <w:lang w:val="vi-VN" w:eastAsia="en-SG"/>
        </w:rPr>
      </w:pPr>
      <w:r>
        <w:rPr>
          <w:rFonts w:eastAsia="Malgun Gothic"/>
          <w:sz w:val="28"/>
          <w:szCs w:val="24"/>
          <w:lang w:val="vi-VN" w:eastAsia="zh-CN"/>
        </w:rPr>
        <w:t>Việc thực hiện CBRRTDL đồng thời cần đưa ra hướng xử lý, điều chỉnh rủi ro. Nó có thể bao gồm: 1)</w:t>
      </w:r>
      <w:r>
        <w:rPr>
          <w:rFonts w:eastAsia="Times New Roman"/>
          <w:sz w:val="28"/>
          <w:szCs w:val="28"/>
          <w:lang w:val="vi-VN" w:eastAsia="en-SG"/>
        </w:rPr>
        <w:t>Tránh rủi ro bằng việc quyết định không bắt đầu hoặc tiếp tục hoạt động làm nảy sinh rủi ro; 2) Đối mặt rủi ro để theo đuổi đến cùng một mục đích với một phương án dự phòng sẵn sàng khi gặp rủi ro; 3) Có giải pháp loại bỏ nguồn rủi ro hoặc thay đổi </w:t>
      </w:r>
      <w:r>
        <w:rPr>
          <w:rFonts w:eastAsia="Times New Roman"/>
          <w:i/>
          <w:iCs/>
          <w:sz w:val="28"/>
          <w:szCs w:val="28"/>
          <w:lang w:val="vi-VN" w:eastAsia="en-SG"/>
        </w:rPr>
        <w:t>khả năng xảy ra</w:t>
      </w:r>
      <w:r>
        <w:rPr>
          <w:rFonts w:eastAsia="Times New Roman"/>
          <w:sz w:val="28"/>
          <w:szCs w:val="28"/>
          <w:lang w:val="vi-VN" w:eastAsia="en-SG"/>
        </w:rPr>
        <w:t> rủi ro.</w:t>
      </w:r>
    </w:p>
    <w:p w:rsidR="00384CE6" w:rsidRDefault="00384CE6" w:rsidP="00384CE6">
      <w:pPr>
        <w:widowControl w:val="0"/>
        <w:autoSpaceDE w:val="0"/>
        <w:autoSpaceDN w:val="0"/>
        <w:spacing w:after="0" w:line="240" w:lineRule="auto"/>
        <w:ind w:firstLine="720"/>
        <w:rPr>
          <w:rFonts w:eastAsia="Times New Roman"/>
          <w:sz w:val="28"/>
          <w:lang w:val="vi-VN"/>
        </w:rPr>
      </w:pPr>
      <w:r>
        <w:rPr>
          <w:rFonts w:eastAsia="Times New Roman"/>
          <w:sz w:val="28"/>
          <w:szCs w:val="28"/>
          <w:lang w:val="vi-VN" w:eastAsia="en-SG"/>
        </w:rPr>
        <w:t xml:space="preserve">Việc xử lý, điều chỉnh rủi ro sẽ làm “giảm nhẹ rủi ro”, “loại bỏ rủi ro”, “ngăn ngừa rủi ro” song nó cũng có thể tạo ra các rủi ro mới cần được tính toán, xem xét, cân nhắc. </w:t>
      </w:r>
      <w:r>
        <w:rPr>
          <w:rFonts w:eastAsia="Times New Roman"/>
          <w:sz w:val="28"/>
          <w:lang w:val="vi-VN"/>
        </w:rPr>
        <w:t xml:space="preserve">CBRRTDL thường bao gồm những nội dung sau: thông tin cơ bản về cơ quan, tổ chức, đơn vị đưa ra CBRRTDL: tên và tư cách pháp nhân; chi tiết liên hệ; mô tả ngắn gọn về hoạt động: chương trình hoạt động và mức độ, nguy cơ rủi ro và cách thức xử lý, yêu cầu đảm bảo an toàn, sự hỗ trợ trong trường hợp khẩn cấp, sự hỗ trợ về trang thiết bị, tiện nghi. </w:t>
      </w:r>
    </w:p>
    <w:p w:rsidR="00384CE6" w:rsidRDefault="00384CE6" w:rsidP="00384CE6">
      <w:pPr>
        <w:widowControl w:val="0"/>
        <w:autoSpaceDE w:val="0"/>
        <w:autoSpaceDN w:val="0"/>
        <w:spacing w:after="0" w:line="240" w:lineRule="auto"/>
        <w:ind w:firstLine="720"/>
        <w:rPr>
          <w:rFonts w:eastAsia="Times New Roman"/>
          <w:sz w:val="28"/>
          <w:lang w:val="vi-VN"/>
        </w:rPr>
      </w:pPr>
      <w:r>
        <w:rPr>
          <w:rFonts w:eastAsia="Times New Roman"/>
          <w:sz w:val="28"/>
          <w:lang w:val="vi-VN"/>
        </w:rPr>
        <w:t>CBRRTDL có thể được thực hiện tại điểm du lịch, tại văn phòng, trụ sở doanh nghiệp du lịch kinh doanh khách sạn, lữ hành hoặc cơ sở dịch vụ du lịch khác tại điểm du lịch, khu du lịch hoặc địa điểm có thể gây ra rủi ro.</w:t>
      </w:r>
    </w:p>
    <w:p w:rsidR="00384CE6" w:rsidRDefault="00384CE6" w:rsidP="00384CE6">
      <w:pPr>
        <w:widowControl w:val="0"/>
        <w:autoSpaceDE w:val="0"/>
        <w:autoSpaceDN w:val="0"/>
        <w:spacing w:after="0" w:line="240" w:lineRule="auto"/>
        <w:ind w:firstLine="720"/>
        <w:rPr>
          <w:rFonts w:eastAsia="Times New Roman"/>
          <w:sz w:val="28"/>
          <w:lang w:val="vi-VN"/>
        </w:rPr>
      </w:pPr>
      <w:r>
        <w:rPr>
          <w:rFonts w:eastAsia="Times New Roman"/>
          <w:sz w:val="28"/>
          <w:lang w:val="vi-VN"/>
        </w:rPr>
        <w:t>Các bên liên quan chính chịu trách nhiệm CBRRTDL: nhà quản lý, kinh doanh, điều hành du lịch, tổ chức/cá nhân xây dựng CBRRTDL và đối tượng được CBRRTDL, đảm bảo CBRRTDL được thực hiện, được giám sát và mang lại kết quả. Các bên liên quan thực hiện đúng, đầy đủ, nhất quán việc CBRRTDL dựa trên nhận thức rõ nguy cơ tiềm ẩn, đảm bảo an toàn và góp phần cải thiện quy định, hướng dẫn, CBRRTDL trong tương lai.</w:t>
      </w:r>
    </w:p>
    <w:p w:rsidR="00384CE6" w:rsidRDefault="00384CE6" w:rsidP="00384CE6">
      <w:pPr>
        <w:widowControl w:val="0"/>
        <w:autoSpaceDE w:val="0"/>
        <w:autoSpaceDN w:val="0"/>
        <w:spacing w:after="0" w:line="240" w:lineRule="auto"/>
        <w:ind w:firstLine="720"/>
        <w:rPr>
          <w:rFonts w:eastAsia="Times New Roman"/>
          <w:sz w:val="28"/>
          <w:lang w:val="vi-VN"/>
        </w:rPr>
      </w:pPr>
      <w:r>
        <w:rPr>
          <w:rFonts w:eastAsia="Times New Roman"/>
          <w:sz w:val="28"/>
          <w:lang w:val="vi-VN"/>
        </w:rPr>
        <w:t>Ngày nay, nhờ sự phát triển của khoa học công nghệ, công nghệ định vị có thể hỗ trợ việc CBRRTDL như hệ thống định vị toàn cầu GPS (</w:t>
      </w:r>
      <w:r>
        <w:rPr>
          <w:rFonts w:eastAsia="Times New Roman"/>
          <w:i/>
          <w:sz w:val="28"/>
          <w:lang w:val="vi-VN"/>
        </w:rPr>
        <w:t>Global Positioning System</w:t>
      </w:r>
      <w:r>
        <w:rPr>
          <w:rFonts w:eastAsia="Times New Roman"/>
          <w:sz w:val="28"/>
          <w:lang w:val="vi-VN"/>
        </w:rPr>
        <w:t>), dịch vụ nhận tín hiệu trạm gốc LBS (</w:t>
      </w:r>
      <w:r>
        <w:rPr>
          <w:rFonts w:eastAsia="Times New Roman"/>
          <w:i/>
          <w:sz w:val="28"/>
          <w:lang w:val="vi-VN"/>
        </w:rPr>
        <w:t>Location Based Service</w:t>
      </w:r>
      <w:r>
        <w:rPr>
          <w:rFonts w:eastAsia="Times New Roman"/>
          <w:sz w:val="28"/>
          <w:lang w:val="vi-VN"/>
        </w:rPr>
        <w:t xml:space="preserve">), wifi,… Các công nghệ này có thể được nhà quản lý, kinh doanh khai thác trên nhiều phương diện, trong đó có việc cảnh báo, giám sát, theo dõi, định vị và lưu trữ lịch sử lộ trình, tuyến </w:t>
      </w:r>
      <w:r>
        <w:rPr>
          <w:rFonts w:eastAsia="Times New Roman"/>
          <w:sz w:val="28"/>
          <w:lang w:val="vi-VN"/>
        </w:rPr>
        <w:lastRenderedPageBreak/>
        <w:t xml:space="preserve">đường du lịch, tốc độ và vùng giới hạn an toàn. Nhờ công nghệ định vị chính xác, khi có sự cố về giao thông, thời tiết, khủng hoảng,… nhà quản lý, điều hành hoạt động du lịch có thể hướng dẫn thay đổi lộ trình và điều chỉnh hoạt động tổ chức của tour du lịch. </w:t>
      </w:r>
    </w:p>
    <w:p w:rsidR="00384CE6" w:rsidRDefault="00384CE6" w:rsidP="00384CE6">
      <w:pPr>
        <w:widowControl w:val="0"/>
        <w:autoSpaceDE w:val="0"/>
        <w:autoSpaceDN w:val="0"/>
        <w:spacing w:after="0" w:line="240" w:lineRule="auto"/>
        <w:jc w:val="right"/>
        <w:rPr>
          <w:rFonts w:ascii="Times New Roman Bold" w:eastAsia="Times New Roman" w:hAnsi="Times New Roman Bold"/>
          <w:b/>
          <w:caps/>
          <w:sz w:val="22"/>
          <w:lang w:val="vi-VN"/>
        </w:rPr>
      </w:pPr>
      <w:r>
        <w:rPr>
          <w:rFonts w:ascii="Times New Roman Bold" w:eastAsia="Times New Roman" w:hAnsi="Times New Roman Bold"/>
          <w:b/>
          <w:caps/>
          <w:sz w:val="22"/>
          <w:lang w:val="vi-VN"/>
        </w:rPr>
        <w:t>Vũ Chiến Thắng</w:t>
      </w:r>
    </w:p>
    <w:p w:rsidR="00384CE6" w:rsidRDefault="00384CE6" w:rsidP="00384CE6">
      <w:pPr>
        <w:widowControl w:val="0"/>
        <w:autoSpaceDE w:val="0"/>
        <w:autoSpaceDN w:val="0"/>
        <w:spacing w:after="0" w:line="240" w:lineRule="auto"/>
        <w:ind w:left="214" w:hangingChars="87" w:hanging="214"/>
        <w:rPr>
          <w:rFonts w:eastAsia="Times New Roman"/>
          <w:b/>
          <w:bCs/>
          <w:spacing w:val="5"/>
          <w:sz w:val="24"/>
          <w:szCs w:val="24"/>
          <w:lang w:val="vi-VN"/>
        </w:rPr>
      </w:pPr>
      <w:r>
        <w:rPr>
          <w:rFonts w:eastAsia="Times New Roman"/>
          <w:b/>
          <w:bCs/>
          <w:spacing w:val="5"/>
          <w:sz w:val="24"/>
          <w:szCs w:val="24"/>
          <w:lang w:val="vi-VN"/>
        </w:rPr>
        <w:t xml:space="preserve">Tài liệu tham khảo: </w:t>
      </w:r>
    </w:p>
    <w:p w:rsidR="00384CE6" w:rsidRDefault="00384CE6" w:rsidP="00384CE6">
      <w:pPr>
        <w:widowControl w:val="0"/>
        <w:autoSpaceDE w:val="0"/>
        <w:autoSpaceDN w:val="0"/>
        <w:adjustRightInd w:val="0"/>
        <w:spacing w:after="0" w:line="240" w:lineRule="auto"/>
        <w:ind w:left="209" w:hangingChars="87" w:hanging="209"/>
        <w:rPr>
          <w:rFonts w:eastAsia="Times New Roman"/>
          <w:sz w:val="24"/>
          <w:szCs w:val="24"/>
          <w:lang w:val="vi-VN"/>
        </w:rPr>
      </w:pPr>
      <w:r>
        <w:rPr>
          <w:rFonts w:eastAsia="Times New Roman"/>
          <w:sz w:val="24"/>
          <w:szCs w:val="24"/>
          <w:lang w:val="vi-VN"/>
        </w:rPr>
        <w:fldChar w:fldCharType="begin" w:fldLock="1"/>
      </w:r>
      <w:r>
        <w:rPr>
          <w:rFonts w:eastAsia="Times New Roman"/>
          <w:sz w:val="24"/>
          <w:szCs w:val="24"/>
          <w:lang w:val="vi-VN"/>
        </w:rPr>
        <w:instrText xml:space="preserve">ADDIN Mendeley Bibliography CSL_BIBLIOGRAPHY </w:instrText>
      </w:r>
      <w:r>
        <w:rPr>
          <w:rFonts w:eastAsia="Times New Roman"/>
          <w:sz w:val="24"/>
          <w:szCs w:val="24"/>
          <w:lang w:val="vi-VN"/>
        </w:rPr>
        <w:fldChar w:fldCharType="separate"/>
      </w:r>
      <w:r>
        <w:rPr>
          <w:rFonts w:eastAsia="Times New Roman"/>
          <w:sz w:val="24"/>
          <w:szCs w:val="24"/>
          <w:lang w:val="vi-VN"/>
        </w:rPr>
        <w:t>1.</w:t>
      </w:r>
      <w:r>
        <w:rPr>
          <w:rFonts w:eastAsia="Times New Roman"/>
          <w:sz w:val="24"/>
          <w:szCs w:val="24"/>
          <w:lang w:val="vi-VN"/>
        </w:rPr>
        <w:tab/>
        <w:t xml:space="preserve">ISO, </w:t>
      </w:r>
      <w:r>
        <w:rPr>
          <w:rFonts w:eastAsia="Times New Roman"/>
          <w:i/>
          <w:sz w:val="24"/>
          <w:szCs w:val="24"/>
          <w:lang w:val="vi-VN"/>
        </w:rPr>
        <w:t>ISO 21101 Du lịch mạo hiểm - Hệ thống quản lý an toàn</w:t>
      </w:r>
      <w:r>
        <w:rPr>
          <w:rFonts w:eastAsia="Times New Roman"/>
          <w:sz w:val="24"/>
          <w:szCs w:val="24"/>
          <w:lang w:val="vi-VN"/>
        </w:rPr>
        <w:t>, 2016, doi: ISBN 978-92-67-10665-6, tr.67.</w:t>
      </w:r>
    </w:p>
    <w:p w:rsidR="00384CE6" w:rsidRDefault="00384CE6" w:rsidP="00384CE6">
      <w:pPr>
        <w:widowControl w:val="0"/>
        <w:autoSpaceDE w:val="0"/>
        <w:autoSpaceDN w:val="0"/>
        <w:adjustRightInd w:val="0"/>
        <w:spacing w:after="0" w:line="240" w:lineRule="auto"/>
        <w:ind w:left="209" w:hangingChars="87" w:hanging="209"/>
        <w:rPr>
          <w:rFonts w:eastAsia="Times New Roman"/>
          <w:sz w:val="24"/>
          <w:szCs w:val="24"/>
          <w:lang w:val="vi-VN"/>
        </w:rPr>
      </w:pPr>
      <w:r>
        <w:rPr>
          <w:rFonts w:eastAsia="Times New Roman"/>
          <w:sz w:val="24"/>
          <w:szCs w:val="24"/>
          <w:lang w:val="vi-VN"/>
        </w:rPr>
        <w:t xml:space="preserve">2. Pizam A., </w:t>
      </w:r>
      <w:r>
        <w:rPr>
          <w:rFonts w:eastAsia="Times New Roman"/>
          <w:i/>
          <w:sz w:val="24"/>
          <w:szCs w:val="24"/>
          <w:lang w:val="vi-VN"/>
        </w:rPr>
        <w:t>International Encyclopedia of Hospitality Management</w:t>
      </w:r>
      <w:r>
        <w:rPr>
          <w:rFonts w:eastAsia="Times New Roman"/>
          <w:sz w:val="24"/>
          <w:szCs w:val="24"/>
          <w:lang w:val="vi-VN"/>
        </w:rPr>
        <w:t xml:space="preserve">, </w:t>
      </w:r>
      <w:r>
        <w:rPr>
          <w:rFonts w:eastAsia="Times New Roman"/>
          <w:iCs/>
          <w:sz w:val="24"/>
          <w:szCs w:val="24"/>
          <w:lang w:val="vi-VN"/>
        </w:rPr>
        <w:t>Routledge. https://doi.org/10.4324/9780080961200</w:t>
      </w:r>
      <w:r>
        <w:rPr>
          <w:rFonts w:eastAsia="Times New Roman"/>
          <w:sz w:val="24"/>
          <w:szCs w:val="24"/>
          <w:lang w:val="vi-VN"/>
        </w:rPr>
        <w:t>, 2010, financial risk, tr. 248.</w:t>
      </w:r>
    </w:p>
    <w:p w:rsidR="00384CE6" w:rsidRDefault="00384CE6" w:rsidP="00384CE6">
      <w:pPr>
        <w:widowControl w:val="0"/>
        <w:autoSpaceDE w:val="0"/>
        <w:autoSpaceDN w:val="0"/>
        <w:adjustRightInd w:val="0"/>
        <w:spacing w:after="0" w:line="240" w:lineRule="auto"/>
        <w:ind w:left="209" w:hangingChars="87" w:hanging="209"/>
        <w:rPr>
          <w:rFonts w:eastAsia="Times New Roman"/>
          <w:sz w:val="24"/>
          <w:szCs w:val="24"/>
          <w:lang w:val="vi-VN"/>
        </w:rPr>
      </w:pPr>
      <w:r>
        <w:rPr>
          <w:rFonts w:eastAsia="Times New Roman"/>
          <w:sz w:val="24"/>
          <w:szCs w:val="24"/>
          <w:lang w:val="vi-VN"/>
        </w:rPr>
        <w:t xml:space="preserve">3. J. Jafari, </w:t>
      </w:r>
      <w:r>
        <w:rPr>
          <w:rFonts w:eastAsia="Times New Roman"/>
          <w:i/>
          <w:iCs/>
          <w:sz w:val="24"/>
          <w:szCs w:val="24"/>
          <w:lang w:val="vi-VN"/>
        </w:rPr>
        <w:t>Encyclopedia of Tourism</w:t>
      </w:r>
      <w:r>
        <w:rPr>
          <w:rFonts w:eastAsia="Times New Roman"/>
          <w:sz w:val="24"/>
          <w:szCs w:val="24"/>
          <w:lang w:val="vi-VN"/>
        </w:rPr>
        <w:t>, Routledge, London &amp; New York, 2000, https://doi.org/10.4324/9780203195673, adventure tourism, tr. 11; risk, tr. 509; risk analysis, tr. 509; Risk, perceived, tr. 510.</w:t>
      </w:r>
    </w:p>
    <w:p w:rsidR="00384CE6" w:rsidRDefault="00384CE6" w:rsidP="00384CE6">
      <w:pPr>
        <w:widowControl w:val="0"/>
        <w:autoSpaceDE w:val="0"/>
        <w:autoSpaceDN w:val="0"/>
        <w:adjustRightInd w:val="0"/>
        <w:spacing w:after="0" w:line="240" w:lineRule="auto"/>
        <w:ind w:left="209" w:hangingChars="87" w:hanging="209"/>
        <w:rPr>
          <w:rFonts w:eastAsia="Times New Roman"/>
          <w:sz w:val="24"/>
          <w:szCs w:val="24"/>
          <w:lang w:val="vi-VN"/>
        </w:rPr>
      </w:pPr>
      <w:r>
        <w:rPr>
          <w:rFonts w:eastAsia="Times New Roman"/>
          <w:sz w:val="24"/>
          <w:szCs w:val="24"/>
          <w:lang w:val="vi-VN"/>
        </w:rPr>
        <w:t>4.</w:t>
      </w:r>
      <w:r>
        <w:rPr>
          <w:rFonts w:eastAsia="Times New Roman"/>
          <w:sz w:val="24"/>
          <w:szCs w:val="24"/>
          <w:lang w:val="vi-VN"/>
        </w:rPr>
        <w:tab/>
        <w:t xml:space="preserve">Budi Yulianto, </w:t>
      </w:r>
      <w:r>
        <w:rPr>
          <w:rFonts w:eastAsia="Times New Roman"/>
          <w:i/>
          <w:sz w:val="24"/>
          <w:szCs w:val="24"/>
          <w:lang w:val="vi-VN"/>
        </w:rPr>
        <w:t>Teknologi Location Based Service (Global Positioning System) Pada Perangkat Mobile</w:t>
      </w:r>
      <w:r>
        <w:rPr>
          <w:rFonts w:eastAsia="Times New Roman"/>
          <w:sz w:val="24"/>
          <w:szCs w:val="24"/>
          <w:lang w:val="vi-VN"/>
        </w:rPr>
        <w:t>, Binus Journal, Bina Nusantara University, Indonesia, tr.68</w:t>
      </w:r>
      <w:r>
        <w:rPr>
          <w:rFonts w:eastAsia="Times New Roman"/>
          <w:sz w:val="24"/>
          <w:szCs w:val="24"/>
          <w:lang w:val="en-SG"/>
        </w:rPr>
        <w:t xml:space="preserve">. </w:t>
      </w:r>
    </w:p>
    <w:p w:rsidR="00384CE6" w:rsidRDefault="00384CE6" w:rsidP="00384CE6">
      <w:pPr>
        <w:widowControl w:val="0"/>
        <w:autoSpaceDE w:val="0"/>
        <w:autoSpaceDN w:val="0"/>
        <w:adjustRightInd w:val="0"/>
        <w:spacing w:after="0" w:line="240" w:lineRule="auto"/>
        <w:ind w:left="209" w:hangingChars="87" w:hanging="209"/>
        <w:rPr>
          <w:rFonts w:eastAsia="Times New Roman"/>
          <w:sz w:val="24"/>
          <w:szCs w:val="24"/>
          <w:lang w:val="vi-VN"/>
        </w:rPr>
      </w:pPr>
    </w:p>
    <w:p w:rsidR="00384CE6" w:rsidRDefault="00384CE6" w:rsidP="00384CE6">
      <w:pPr>
        <w:keepNext/>
        <w:keepLines/>
        <w:widowControl w:val="0"/>
        <w:autoSpaceDE w:val="0"/>
        <w:autoSpaceDN w:val="0"/>
        <w:spacing w:after="0" w:line="240" w:lineRule="auto"/>
        <w:outlineLvl w:val="1"/>
        <w:rPr>
          <w:rFonts w:eastAsia="Times New Roman"/>
          <w:b/>
          <w:sz w:val="24"/>
          <w:szCs w:val="24"/>
          <w:lang w:val="vi-VN"/>
        </w:rPr>
      </w:pPr>
      <w:r>
        <w:rPr>
          <w:rFonts w:eastAsia="Times New Roman"/>
          <w:sz w:val="24"/>
          <w:szCs w:val="24"/>
          <w:lang w:val="vi-VN"/>
        </w:rPr>
        <w:fldChar w:fldCharType="end"/>
      </w:r>
    </w:p>
    <w:p w:rsidR="00384CE6" w:rsidRDefault="00384CE6" w:rsidP="00384CE6">
      <w:pPr>
        <w:spacing w:after="160" w:line="240" w:lineRule="auto"/>
        <w:rPr>
          <w:rFonts w:eastAsia="Times New Roman"/>
          <w:b/>
          <w:sz w:val="24"/>
          <w:szCs w:val="24"/>
          <w:lang w:val="vi-VN"/>
        </w:rPr>
      </w:pPr>
      <w:r>
        <w:rPr>
          <w:rFonts w:eastAsia="Times New Roman"/>
          <w:b/>
          <w:sz w:val="24"/>
          <w:szCs w:val="24"/>
          <w:lang w:val="vi-VN"/>
        </w:rPr>
        <w:br w:type="page"/>
      </w:r>
    </w:p>
    <w:p w:rsidR="00EB5AB5" w:rsidRPr="00384CE6" w:rsidRDefault="00EB5AB5">
      <w:pPr>
        <w:rPr>
          <w:lang w:val="vi-VN"/>
        </w:rPr>
      </w:pPr>
      <w:bookmarkStart w:id="0" w:name="_GoBack"/>
      <w:bookmarkEnd w:id="0"/>
    </w:p>
    <w:sectPr w:rsidR="00EB5AB5" w:rsidRPr="00384CE6"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Malgun Gothic">
    <w:panose1 w:val="020B0503020000020004"/>
    <w:charset w:val="81"/>
    <w:family w:val="swiss"/>
    <w:pitch w:val="variable"/>
    <w:sig w:usb0="9000002F" w:usb1="29D77CFB" w:usb2="00000012" w:usb3="00000000" w:csb0="00080001" w:csb1="00000000"/>
  </w:font>
  <w:font w:name="Open Sans">
    <w:altName w:val="Segoe UI"/>
    <w:panose1 w:val="00000000000000000000"/>
    <w:charset w:val="00"/>
    <w:family w:val="roman"/>
    <w:notTrueType/>
    <w:pitch w:val="default"/>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CE6"/>
    <w:rsid w:val="00384CE6"/>
    <w:rsid w:val="006F23EF"/>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DBAD8E-2A94-42CE-8E70-F3069C036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4CE6"/>
    <w:pPr>
      <w:spacing w:after="120" w:line="324" w:lineRule="auto"/>
      <w:jc w:val="both"/>
    </w:pPr>
    <w:rPr>
      <w:rFonts w:ascii="Times New Roman" w:eastAsia="Calibri" w:hAnsi="Times New Roman" w:cs="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55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611</Words>
  <Characters>3483</Characters>
  <Application>Microsoft Office Word</Application>
  <DocSecurity>0</DocSecurity>
  <Lines>29</Lines>
  <Paragraphs>8</Paragraphs>
  <ScaleCrop>false</ScaleCrop>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ANH THƠ</dc:creator>
  <cp:keywords/>
  <dc:description/>
  <cp:lastModifiedBy>LÊ ANH THƠ</cp:lastModifiedBy>
  <cp:revision>1</cp:revision>
  <dcterms:created xsi:type="dcterms:W3CDTF">2026-06-27T15:50:00Z</dcterms:created>
  <dcterms:modified xsi:type="dcterms:W3CDTF">2026-06-27T15:50:00Z</dcterms:modified>
</cp:coreProperties>
</file>